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269</w:t>
      </w:r>
    </w:p>
    <w:p>
      <w:r>
        <w:t>Bundesgericht (BGE), 1998-06-16, FR</w:t>
      </w:r>
    </w:p>
    <w:p>
      <w:r>
        <w:rPr>
          <w:b/>
        </w:rPr>
        <w:t xml:space="preserve">Quelle: </w:t>
      </w:r>
      <w:r>
        <w:t>https://mcp.opencaselaw.ch/entscheid/bge_125 III 269</w:t>
      </w:r>
    </w:p>
    <w:p>
      <w:r>
        <w:t>FR: ATF 125 III 269</w:t>
      </w:r>
    </w:p>
    <w:p>
      <w:r>
        <w:t>IT: DTF 125 III 269</w:t>
      </w:r>
    </w:p>
    <w:p>
      <w:pPr>
        <w:pStyle w:val="Heading2"/>
      </w:pPr>
      <w:r>
        <w:t>Regeste</w:t>
      </w:r>
    </w:p>
    <w:p>
      <w:r>
        <w:t>Regeste Art. 49 OR; Höhe der Genugtuung für Opfer von sexuellen Handlungen. Zusammenfassung der Kriterien, die bei der Festsetzung der Höhe einer Genugtuung zu berücksichtigen sind; Prüfungsbefugnis des Bundesgerichts (E. 2a). Fall eines Mädchens, welches durch seinen Vater während zehn Jahren unzählige besonders schwere Angriffe gegen die sexuelle Integrität erleiden musste, die bei dem Mädchen eine schwerwiegende und sehr wahrscheinlich irreversible Schädigung bewirkten (E. 2b und c).</w:t>
      </w:r>
    </w:p>
    <w:p>
      <w:pPr>
        <w:pStyle w:val="Heading2"/>
      </w:pPr>
      <w:r>
        <w:t>Erwägungen</w:t>
      </w:r>
    </w:p>
    <w:p>
      <w:r>
        <w:rPr>
          <w:b/>
        </w:rPr>
        <w:t>E. 2</w:t>
      </w:r>
    </w:p>
    <w:p>
      <w:r>
        <w:t>La recourante invoque une violation de l' art. 49 CO ; elle fait valoir que le montant de 50'000 francs qui lui a été alloué à titre de réparation du tort moral est manifestement insuffisant eu égard aux sévices sexuels graves qui lui ont été infligés régulièrement pendant dix ans et aux atteintes à sa santé physique et psychique qui en ont résulté. a)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ATF 118 II 410 consid. 2a p. 413 et les arrêts cités). La fixation de l'indemnité pour tort moral est une question d'application du droit fédéral, que le Tribunal fédéral examine donc librement. Dans la mesure où cette question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cependant d'une question d'équité - et non pas d'une question d'appréciation au sens strict, qui limiterait son pouvoir d'examen à l'abus ou à l'excès du pouvoir d'appréciation -, le Tribunal fédéral examine BGE 125 III 269 S. 274 toutefois librement si la somme allouée tient suffisamment compte de la gravité de l'atteinte ou si elle est disproportionnée par rapport à l'intensité des souffrances morales causées à la victime (cf. ATF 123 III 10 consid. 4c/aa p. 12 s; ATF 118 II 410 consid. 2a p. 413 et les arrêts cités). Dans le cas d'une enfant, âgée de 10 ans au moment des faits, sur laquelle son beau-père avait, durant une période de six mois au moins, commis des attouchements, en la caressant et l'embrassant sur les seins et le pubis, et qui avait été marquée fortement pendant plusieurs mois par ces agissements mais n'avait pas été gravement perturbée, sans que l'on puisse toutefois exclure que les atteintes subies entraînent des conséquences à l'âge adulte, le Tribunal fédéral a jugé qu'une indemnité pour tort moral de 6'000 francs allouée en instance cantonale était inéquitable parce que trop faible et l'a portée à 10'000 francs (cf. ATF 118 II 410 consid. 2b p. 414 s.). En cas de viol, les montants qui ont été alloués depuis 1990 se situent généralement entre 10'000 et 15'000 francs et s'élèvent exceptionnellement à 20'000 francs (cf. Hütte/Drucksch, Die Genugtuung, 3ème éd., 1996, X/2 no 5, X/3 no 7, X/5 no 12, X/6 no 15 et 16, X/7 no 8, X/8 no 21 et 22, X/9 no 23, X/10 no 25, X/11 no 27; depuis 1995: X/4 no 8, X/5 no 11, X/6 no 13). D'une manière générale, la jurisprudence tend, depuis quelques années, à allouer des montants plus importants en matière d'atteintes graves à l'intégrité d'une personne. b) En l'espèce, la recourante, qui était âgée de 8 ans lorsque l'intimé a commencé ses agissements, a subi pendant dix ans, à d'innombrables reprises, des atteintes particulièrement graves à son intégrité sexuelle. Comme l'ont relevé les premiers juges, à l'exception du viol, l'intimé a commis en quelque sorte tous les actes sexuels possibles et imaginables sur sa fille. Lorsque cette dernière vivait auprès de lui, il s'en prenait à elle presque quotidiennement, que ce soit le soir, durant la pause de midi ou dans l'après-midi lorsqu'elle revenait de l'école ou encore en allant la rejoindre dans sa chambre durant la nuit. Il ne fait pas de doute que, durant toutes ces années, la victime a vécu un véritable enfer, dans l'angoisse indescriptible des assauts sans cesse renouvelés de son père, auquel, dans son isolement, elle était impuissante à échapper et qui n'a pas hésité, lorsqu'elle résistait, à la ligoter pour assouvir ses pulsions. Les conséquences physiques et psychiques de ces atteintes sont extrêmement lourdes. L'arrêt attaqué constate que la recourante a été épouvantablement marquée par les actes horribles que son père lui a fait subir. Elle est apparue abattue et prostrée, incapable de répondre BGE 125 III 269 S. 275 autrement que par oui ou par non aux questions qui lui étaient posées et se bloquant complètement dès que les faits de la présente cause étaient évoqués. Selon l'expert-psychiatre, elle souffre d'une dépression sévère, qui doit être attribuée aux sévices qu'elle a subis depuis l'enfance; elle présente également un retard mental léger ainsi que des troubles de la personnalité et du comportement, qui s'expliquent en partie par un développement perturbé durant l'enfance et par la dépression sévère dont elle souffre, qui les a aggravés; il existe un risque de dommages permanents sur les plans affectif, intellectuel et professionnel; une relation hétérosexuelle normale risque de ne pas se développer ou de présenter d'importantes difficultés. Actuellement, la recourante est placée dans une institution spécialisée pour des jeunes filles présentant d'importants problèmes; elle est suivie par un médecin, qui a qualifié son cas d'extrêmement lourd et difficile et qui a exposé que sa patiente voyait encore, dans ses moments d'angoisse, son père sur elle; l'un des éducateurs qui s'occupe d'elle a fait état d'une tentative de suicide à une reprise au moins. c) Au vu de ce qui précède, l'indemnité pour tort moral de 50'000 francs allouée à la recourante en instance cantonale est manifestement trop faible. Les juges cantonaux se sont certes fondés sur des éléments pertinents; ils n'ont toutefois pas suffisamment tenu compte de l'intensité des souffrances que la recourante a éprouvées pendant de longues années, de celles qu'elle éprouve encore et éprouvera longtemps si ce n'est définitivement; ils n'ont de même pas suffisamment tenu compte de l'importance du grave dommage psychique, affectif, intellectuel et professionnel subi par la recourante, ni du fait que ce dommage, à dire d'expert, risque fort d'être permanent. Les sévices infligées à la recourante, par leur nature, leur régularité, leur durée et leurs conséquences, sont incontestablement beaucoup plus graves que ceux qui, dans l' ATF 118 II 410 ss précité, avaient conduit le Tribunal fédéral, en 1992, à allouer à la victime d'attentats à la pudeur une indemnité pour tort moral de 10'000 francs. Ils excèdent aussi largement, notamment par leur durée, leur fréquence et par la circonstance qu'ils ont été le fait du père de la victime, les cas de viol où des montants pouvant aller jusqu'à 20'000 francs ont été alloués. A cela s'ajoute que, dans le cas d'espèce, il y a lieu de prendre en considération le risque très élevé de dommages permanents graves et de leurs conséquences pour la recourante. Compte tenu de l'ensemble des circonstances, en particulier de la gravité de l'atteinte subie, de l'intensité des souffrances morales qu'elle a entraînées ainsi que du risque de dommages permanents et BGE 125 III 269 S. 276 de leurs conséquences, une indemnité de 100'000 francs apparaît équitable en l'espèce. Il est vrai que ce montant est exceptionnellement élevé et il convient de souligner qu'il représente sans doute le maximum qui puisse être alloué pour ce genre de cas. Il se justifie toutefois en l'espèce eu égard à l'extrême gravité du cas particulier, compte tenu notamment des éléments suivants: le genre des atteintes subies (multiples attouchements graves, masturbations, sodomisations et fellations) ainsi que leur fréquence (quasi quotidienne) et leur durée (une dizaine d'années); la circonstance que ces atteintes ont été le fait du père de la victime, lequel a considéré et traité sa fille, qui se trouvait dans une situation d'isolement et d'impuissance totale par rapport à lui, comme un simple objet de plaisir qu'il s'appropriait; les actes de contrainte exercés sur la victime, qui a été menacée et même ligotée, et les humiliations qui lui ont été infligées; l'importance et l'irréversibilité hautement probable du préjudice subi par la victime, en particulier sur le plan psychique. Dans ces circonstances, la Cour de céans estime équitable d'allouer un montant de 100'000 francs à titre de réparation morale. Il y a lieu de préciser ici, étant relevé que cela n'est pas contesté, que l'indemnité allouée est destinée à réparer le tort moral consécutif à l'ensemble des actes commis par l'intimé, donc celui résultant non seulement des actes commis - entre 1990 et janvier 1997 - qui sont punissables en Suisse mais également des actes commis - de 1987 à 1990 - au Portugal. d) La recourante conclut à ce que l'indemnité en cause lui soit allouée avec intérêts à 5% l'an à partir du 1er janvier 1987, soit depuis le début de l'activité dommageable. Ces conclusions correspondent à celles qu'elle avait prises dans son recours cantonal, qui a été écarté en ce qui concerne le montant de l'indemnité pour tort moral sans que la cour cantonale ne se prononce sur la question de l'allocation d'intérêts. Devant le tribunal de première instance, qui ne s'est pas non plus prononcé sur cette question, la recourante avait toutefois conclu, dans son mémoire de demande du 10 juin 1998, à l'allocation d'intérêts à 5% l'an dès cette date, donc sans effet rétroactif. Il n'y a pas lieu de s'écarter de ces premières conclusions, déterminantes, qui ne sont au reste pas contestées par l'intimé. La somme de 100'000 francs allouée à la recourante le sera donc avec intérêts à 5% l'an dès le 10 juin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